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5D" w:rsidRPr="00D70266" w:rsidRDefault="0029385D" w:rsidP="00F02232">
      <w:pPr>
        <w:rPr>
          <w:szCs w:val="21"/>
        </w:rPr>
      </w:pPr>
      <w:bookmarkStart w:id="0" w:name="_GoBack"/>
      <w:bookmarkEnd w:id="0"/>
      <w:r w:rsidRPr="00D70266">
        <w:rPr>
          <w:rFonts w:hint="eastAsia"/>
          <w:szCs w:val="21"/>
        </w:rPr>
        <w:t>単位区画毎の深さの限定により試料採取等の対象としなかった区画の一覧</w:t>
      </w:r>
    </w:p>
    <w:p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7E2565"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深さの限定により</w:t>
            </w:r>
          </w:p>
          <w:p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r w:rsidR="007E2565" w:rsidRPr="00D70266"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bl>
    <w:p w:rsidR="00864905" w:rsidRPr="00D70266" w:rsidRDefault="00864905" w:rsidP="00864905">
      <w:pPr>
        <w:spacing w:line="0" w:lineRule="atLeast"/>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代表地点毎の深さの限定により採取を行わなかった土壌の一覧</w:t>
      </w:r>
    </w:p>
    <w:p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rsidR="007E2565"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深さの限定により</w:t>
            </w:r>
          </w:p>
          <w:p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深さの限定により</w:t>
            </w:r>
          </w:p>
          <w:p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r>
    </w:tbl>
    <w:p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単位区画毎の深さの限定により試料採取等の対象としなかった区画の一覧</w:t>
      </w:r>
    </w:p>
    <w:p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深さの限定により</w:t>
            </w:r>
          </w:p>
          <w:p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r w:rsidR="00F02232" w:rsidRPr="00D70266"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bl>
    <w:p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単位区画毎の深さの限定により採取を行わなかった土壌の一覧</w:t>
      </w:r>
    </w:p>
    <w:p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深さの限定により</w:t>
            </w:r>
          </w:p>
          <w:p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r>
      <w:tr w:rsidR="00A73999" w:rsidRPr="00D70266"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20"/>
                <w:szCs w:val="18"/>
              </w:rPr>
            </w:pPr>
          </w:p>
        </w:tc>
      </w:tr>
    </w:tbl>
    <w:p w:rsidR="00864905" w:rsidRPr="00D70266" w:rsidRDefault="00864905" w:rsidP="007A40C0">
      <w:pPr>
        <w:spacing w:line="0" w:lineRule="atLeast"/>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rsidR="00F02232" w:rsidRPr="00D70266" w:rsidRDefault="00A73999" w:rsidP="00F02232">
      <w:pPr>
        <w:rPr>
          <w:szCs w:val="18"/>
        </w:rPr>
      </w:pPr>
      <w:r w:rsidRPr="00D70266">
        <w:rPr>
          <w:szCs w:val="18"/>
        </w:rPr>
        <w:br w:type="page"/>
      </w:r>
      <w:r w:rsidR="00F02232" w:rsidRPr="00D70266">
        <w:rPr>
          <w:rFonts w:hint="eastAsia"/>
          <w:szCs w:val="18"/>
        </w:rPr>
        <w:lastRenderedPageBreak/>
        <w:t>単位区画毎の深さの限定により試料採取等の対象としなかった区画の一覧</w:t>
      </w:r>
    </w:p>
    <w:p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深さの限定により試料採取等の対象としなかった単位区画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r w:rsidR="00F02232" w:rsidRPr="00D70266"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Cs w:val="21"/>
              </w:rPr>
            </w:pPr>
          </w:p>
        </w:tc>
      </w:tr>
    </w:tbl>
    <w:p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rsidR="00F02232" w:rsidRPr="00D70266" w:rsidRDefault="00F02232" w:rsidP="00F02232">
      <w:pPr>
        <w:rPr>
          <w:sz w:val="18"/>
          <w:szCs w:val="18"/>
        </w:rPr>
      </w:pPr>
    </w:p>
    <w:p w:rsidR="00864905" w:rsidRPr="00D70266" w:rsidRDefault="00864905" w:rsidP="00F02232">
      <w:pPr>
        <w:rPr>
          <w:sz w:val="18"/>
          <w:szCs w:val="18"/>
        </w:rPr>
      </w:pPr>
    </w:p>
    <w:p w:rsidR="00F02232" w:rsidRPr="00D70266" w:rsidRDefault="00F02232" w:rsidP="00F02232">
      <w:pPr>
        <w:rPr>
          <w:szCs w:val="21"/>
        </w:rPr>
      </w:pPr>
      <w:r w:rsidRPr="00D70266">
        <w:rPr>
          <w:rFonts w:hint="eastAsia"/>
          <w:szCs w:val="21"/>
        </w:rPr>
        <w:t>900</w:t>
      </w:r>
      <w:r w:rsidRPr="00D70266">
        <w:rPr>
          <w:rFonts w:hint="eastAsia"/>
          <w:szCs w:val="21"/>
        </w:rPr>
        <w:t>ｍ格子内における最大形質変更深さのうち最も深い位置の深さ、採取を行わなかった土壌の一覧</w:t>
      </w:r>
    </w:p>
    <w:p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1C343B">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深さの限定により</w:t>
            </w:r>
          </w:p>
          <w:p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深さの限定により</w:t>
            </w:r>
          </w:p>
          <w:p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r>
      <w:tr w:rsidR="00282AA1" w:rsidRPr="00D70266"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r>
    </w:tbl>
    <w:p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最大形質変更深さ、自然由来盛土等の土壌の位置、試料採取等の対象としなかった区画の一覧</w:t>
      </w:r>
    </w:p>
    <w:p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深さの限定により試料採取等の対象としなかった単位区画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r>
      <w:tr w:rsidR="00F02232" w:rsidRPr="00D70266"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r>
    </w:tbl>
    <w:p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ｍ格子内における最大形質変更深さのうち最も深い位置の深さ、採取を行わなかった土壌の一覧</w:t>
      </w:r>
    </w:p>
    <w:p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深さの限定により</w:t>
            </w:r>
          </w:p>
          <w:p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深さの限定により</w:t>
            </w:r>
          </w:p>
          <w:p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Cs w:val="21"/>
              </w:rPr>
            </w:pPr>
          </w:p>
        </w:tc>
      </w:tr>
    </w:tbl>
    <w:p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rsidR="00864905" w:rsidRPr="00D70266" w:rsidRDefault="00864905" w:rsidP="00F02232">
      <w:pPr>
        <w:rPr>
          <w:szCs w:val="21"/>
        </w:rPr>
      </w:pPr>
    </w:p>
    <w:p w:rsidR="00864905" w:rsidRPr="00D70266" w:rsidRDefault="00864905" w:rsidP="00F02232">
      <w:pPr>
        <w:rPr>
          <w:szCs w:val="21"/>
        </w:rPr>
      </w:pPr>
    </w:p>
    <w:p w:rsidR="00F02232" w:rsidRPr="00D70266" w:rsidRDefault="00282AA1" w:rsidP="00F02232">
      <w:pPr>
        <w:rPr>
          <w:szCs w:val="21"/>
        </w:rPr>
      </w:pPr>
      <w:r w:rsidRPr="00D70266">
        <w:rPr>
          <w:szCs w:val="21"/>
        </w:rPr>
        <w:br w:type="page"/>
      </w:r>
      <w:r w:rsidR="00F02232" w:rsidRPr="00D70266">
        <w:rPr>
          <w:rFonts w:hint="eastAsia"/>
          <w:szCs w:val="21"/>
        </w:rPr>
        <w:lastRenderedPageBreak/>
        <w:t>最大形質変更深さ、</w:t>
      </w:r>
      <w:proofErr w:type="gramStart"/>
      <w:r w:rsidR="00F02232" w:rsidRPr="00D70266">
        <w:rPr>
          <w:rFonts w:hint="eastAsia"/>
          <w:szCs w:val="21"/>
        </w:rPr>
        <w:t>埋立</w:t>
      </w:r>
      <w:proofErr w:type="gramEnd"/>
      <w:r w:rsidR="00F02232" w:rsidRPr="00D70266">
        <w:rPr>
          <w:rFonts w:hint="eastAsia"/>
          <w:szCs w:val="21"/>
        </w:rPr>
        <w:t>層等の位置、試料採取等の対象としなかった区画の一覧</w:t>
      </w:r>
    </w:p>
    <w:p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深さの限定により試料採取等の対象としなかった単位区画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rsidR="00D26FC2" w:rsidRPr="00D70266" w:rsidRDefault="00F02232" w:rsidP="00D26FC2">
            <w:pPr>
              <w:widowControl/>
              <w:spacing w:line="0" w:lineRule="atLeast"/>
              <w:jc w:val="center"/>
              <w:rPr>
                <w:rFonts w:ascii="ＭＳ 明朝" w:hAnsi="ＭＳ 明朝" w:cs="ＭＳ Ｐゴシック"/>
                <w:kern w:val="0"/>
              </w:rPr>
            </w:pPr>
            <w:proofErr w:type="gramStart"/>
            <w:r w:rsidRPr="00D70266">
              <w:rPr>
                <w:rFonts w:ascii="ＭＳ 明朝" w:hAnsi="ＭＳ 明朝" w:cs="ＭＳ Ｐゴシック" w:hint="eastAsia"/>
                <w:kern w:val="0"/>
              </w:rPr>
              <w:t>埋立</w:t>
            </w:r>
            <w:proofErr w:type="gramEnd"/>
            <w:r w:rsidRPr="00D70266">
              <w:rPr>
                <w:rFonts w:ascii="ＭＳ 明朝" w:hAnsi="ＭＳ 明朝" w:cs="ＭＳ Ｐゴシック" w:hint="eastAsia"/>
                <w:kern w:val="0"/>
              </w:rPr>
              <w:t>層等の位置</w:t>
            </w:r>
            <w:r w:rsidR="00D26FC2" w:rsidRPr="00D70266">
              <w:rPr>
                <w:rFonts w:ascii="ＭＳ 明朝" w:hAnsi="ＭＳ 明朝" w:cs="ＭＳ Ｐゴシック" w:hint="eastAsia"/>
                <w:kern w:val="0"/>
              </w:rPr>
              <w:t>の</w:t>
            </w:r>
          </w:p>
          <w:p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r>
      <w:tr w:rsidR="00A73999" w:rsidRPr="00D70266"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A73999" w:rsidRPr="00D70266" w:rsidRDefault="00A73999" w:rsidP="001C343B">
            <w:pPr>
              <w:widowControl/>
              <w:jc w:val="center"/>
              <w:rPr>
                <w:rFonts w:ascii="ＭＳ 明朝" w:hAnsi="ＭＳ 明朝" w:cs="ＭＳ Ｐゴシック"/>
                <w:kern w:val="0"/>
              </w:rPr>
            </w:pPr>
          </w:p>
        </w:tc>
      </w:tr>
    </w:tbl>
    <w:p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rsidR="00F02232" w:rsidRPr="00D70266" w:rsidRDefault="00F02232" w:rsidP="00F02232">
      <w:pPr>
        <w:rPr>
          <w:szCs w:val="21"/>
        </w:rPr>
      </w:pPr>
    </w:p>
    <w:p w:rsidR="007A40C0" w:rsidRPr="00D70266" w:rsidRDefault="007A40C0" w:rsidP="00F02232">
      <w:pPr>
        <w:rPr>
          <w:szCs w:val="21"/>
        </w:rPr>
      </w:pPr>
    </w:p>
    <w:p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ｍ格子内における最大形質変更深さのうち最も深い位置の深さ、採取を行わなかった土壌の一覧</w:t>
      </w:r>
    </w:p>
    <w:p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rsidR="007E2565"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深さの限定により</w:t>
            </w:r>
          </w:p>
          <w:p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rsidR="007E2565"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深さの限定により</w:t>
            </w:r>
          </w:p>
          <w:p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rsidR="00F02232" w:rsidRPr="00D70266" w:rsidRDefault="00F02232" w:rsidP="001C343B">
            <w:pPr>
              <w:widowControl/>
              <w:jc w:val="center"/>
              <w:rPr>
                <w:rFonts w:ascii="ＭＳ 明朝" w:hAnsi="ＭＳ 明朝" w:cs="ＭＳ Ｐゴシック"/>
                <w:kern w:val="0"/>
                <w:sz w:val="18"/>
                <w:szCs w:val="18"/>
              </w:rPr>
            </w:pPr>
          </w:p>
        </w:tc>
      </w:tr>
    </w:tbl>
    <w:p w:rsidR="00864905" w:rsidRPr="00D70266" w:rsidRDefault="00864905" w:rsidP="00864905">
      <w:pPr>
        <w:spacing w:line="0" w:lineRule="atLeast"/>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rsidR="00F02232" w:rsidRPr="00D70266" w:rsidRDefault="00F02232" w:rsidP="00F02232">
      <w:pPr>
        <w:rPr>
          <w:szCs w:val="21"/>
        </w:rPr>
      </w:pPr>
    </w:p>
    <w:p w:rsidR="00F02232" w:rsidRPr="00D70266" w:rsidRDefault="00F02232" w:rsidP="00F02232">
      <w:pPr>
        <w:rPr>
          <w:szCs w:val="21"/>
        </w:rPr>
      </w:pPr>
    </w:p>
    <w:p w:rsidR="00F02232" w:rsidRPr="00D70266" w:rsidRDefault="00F02232" w:rsidP="00F02232">
      <w:pPr>
        <w:rPr>
          <w:szCs w:val="21"/>
        </w:rPr>
      </w:pPr>
    </w:p>
    <w:p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4415C">
      <w:headerReference w:type="default" r:id="rId9"/>
      <w:pgSz w:w="11906" w:h="16838" w:code="9"/>
      <w:pgMar w:top="1418" w:right="1134" w:bottom="1418" w:left="1134" w:header="850" w:footer="397" w:gutter="0"/>
      <w:pgNumType w:start="1"/>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91" w:rsidRDefault="00706391">
      <w:r>
        <w:separator/>
      </w:r>
    </w:p>
  </w:endnote>
  <w:endnote w:type="continuationSeparator" w:id="0">
    <w:p w:rsidR="00706391" w:rsidRDefault="0070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91" w:rsidRDefault="00706391">
      <w:r>
        <w:separator/>
      </w:r>
    </w:p>
  </w:footnote>
  <w:footnote w:type="continuationSeparator" w:id="0">
    <w:p w:rsidR="00706391" w:rsidRDefault="0070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5C" w:rsidRPr="0074415C" w:rsidRDefault="0074415C" w:rsidP="0074415C">
    <w:pPr>
      <w:pStyle w:val="a5"/>
      <w:jc w:val="right"/>
      <w:rPr>
        <w:sz w:val="18"/>
      </w:rPr>
    </w:pPr>
    <w:r>
      <w:rPr>
        <w:rFonts w:hint="eastAsia"/>
        <w:sz w:val="18"/>
      </w:rPr>
      <w:t>【</w:t>
    </w:r>
    <w:r w:rsidRPr="0074415C">
      <w:rPr>
        <w:rFonts w:hint="eastAsia"/>
        <w:sz w:val="18"/>
      </w:rPr>
      <w:t>法第３条第８項、第４条第２項、第３項　深さが限定された土壌汚染状況調査結果の記入シート</w:t>
    </w:r>
    <w:r>
      <w:rPr>
        <w:rFonts w:hint="eastAsi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05"/>
    <w:rsid w:val="00001DBD"/>
    <w:rsid w:val="00007253"/>
    <w:rsid w:val="00025D4C"/>
    <w:rsid w:val="000457C5"/>
    <w:rsid w:val="00062A9C"/>
    <w:rsid w:val="000920EF"/>
    <w:rsid w:val="000A5B5E"/>
    <w:rsid w:val="000C0B8B"/>
    <w:rsid w:val="000F3970"/>
    <w:rsid w:val="000F57B7"/>
    <w:rsid w:val="00100337"/>
    <w:rsid w:val="00102408"/>
    <w:rsid w:val="001025BD"/>
    <w:rsid w:val="00107165"/>
    <w:rsid w:val="00113E5C"/>
    <w:rsid w:val="0011521A"/>
    <w:rsid w:val="00117F44"/>
    <w:rsid w:val="001327E8"/>
    <w:rsid w:val="00135505"/>
    <w:rsid w:val="0015049E"/>
    <w:rsid w:val="00150CD6"/>
    <w:rsid w:val="00156989"/>
    <w:rsid w:val="0016309A"/>
    <w:rsid w:val="00165D0A"/>
    <w:rsid w:val="00182D45"/>
    <w:rsid w:val="00194DF9"/>
    <w:rsid w:val="0019738B"/>
    <w:rsid w:val="001A1664"/>
    <w:rsid w:val="001A47B3"/>
    <w:rsid w:val="001B3F6B"/>
    <w:rsid w:val="001C343B"/>
    <w:rsid w:val="001C4B7C"/>
    <w:rsid w:val="001D79CD"/>
    <w:rsid w:val="001F2DAB"/>
    <w:rsid w:val="00202A14"/>
    <w:rsid w:val="002162F8"/>
    <w:rsid w:val="0022765F"/>
    <w:rsid w:val="002319C8"/>
    <w:rsid w:val="00251A39"/>
    <w:rsid w:val="00271801"/>
    <w:rsid w:val="002732C8"/>
    <w:rsid w:val="00282AA1"/>
    <w:rsid w:val="002839A5"/>
    <w:rsid w:val="0029385D"/>
    <w:rsid w:val="002A27CC"/>
    <w:rsid w:val="002A43F6"/>
    <w:rsid w:val="002B1AB9"/>
    <w:rsid w:val="002D0054"/>
    <w:rsid w:val="002D6D9F"/>
    <w:rsid w:val="002E74A6"/>
    <w:rsid w:val="002F4AC3"/>
    <w:rsid w:val="002F5BA7"/>
    <w:rsid w:val="002F5EA7"/>
    <w:rsid w:val="00300C1B"/>
    <w:rsid w:val="00306AE5"/>
    <w:rsid w:val="0030774D"/>
    <w:rsid w:val="003145DB"/>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92371"/>
    <w:rsid w:val="0049715D"/>
    <w:rsid w:val="004A7149"/>
    <w:rsid w:val="004B57DB"/>
    <w:rsid w:val="004B609C"/>
    <w:rsid w:val="004C6ACE"/>
    <w:rsid w:val="004C6F6C"/>
    <w:rsid w:val="00503869"/>
    <w:rsid w:val="00507B37"/>
    <w:rsid w:val="00515AEA"/>
    <w:rsid w:val="0052664C"/>
    <w:rsid w:val="00536AD0"/>
    <w:rsid w:val="00543930"/>
    <w:rsid w:val="00550C72"/>
    <w:rsid w:val="0055729E"/>
    <w:rsid w:val="00560722"/>
    <w:rsid w:val="005721EE"/>
    <w:rsid w:val="00576DE5"/>
    <w:rsid w:val="00577A88"/>
    <w:rsid w:val="0058153B"/>
    <w:rsid w:val="00582BF2"/>
    <w:rsid w:val="00587E85"/>
    <w:rsid w:val="0059331A"/>
    <w:rsid w:val="00593E07"/>
    <w:rsid w:val="005A1217"/>
    <w:rsid w:val="005E1EAA"/>
    <w:rsid w:val="00613B38"/>
    <w:rsid w:val="00617990"/>
    <w:rsid w:val="0062205B"/>
    <w:rsid w:val="006345C1"/>
    <w:rsid w:val="0065470C"/>
    <w:rsid w:val="006723CB"/>
    <w:rsid w:val="006726D0"/>
    <w:rsid w:val="00682FEE"/>
    <w:rsid w:val="00693141"/>
    <w:rsid w:val="006A0AC0"/>
    <w:rsid w:val="006C393C"/>
    <w:rsid w:val="006D2C63"/>
    <w:rsid w:val="006D43F8"/>
    <w:rsid w:val="006E4700"/>
    <w:rsid w:val="006F3013"/>
    <w:rsid w:val="00701CCB"/>
    <w:rsid w:val="007042A7"/>
    <w:rsid w:val="00706391"/>
    <w:rsid w:val="00714AAA"/>
    <w:rsid w:val="00720CFB"/>
    <w:rsid w:val="00723156"/>
    <w:rsid w:val="007341AB"/>
    <w:rsid w:val="00743D27"/>
    <w:rsid w:val="0074415C"/>
    <w:rsid w:val="007462B8"/>
    <w:rsid w:val="00750420"/>
    <w:rsid w:val="0076518E"/>
    <w:rsid w:val="007728DC"/>
    <w:rsid w:val="00772967"/>
    <w:rsid w:val="00774A83"/>
    <w:rsid w:val="007766F1"/>
    <w:rsid w:val="00790C82"/>
    <w:rsid w:val="007A21B4"/>
    <w:rsid w:val="007A40C0"/>
    <w:rsid w:val="007C1902"/>
    <w:rsid w:val="007C1C58"/>
    <w:rsid w:val="007C3826"/>
    <w:rsid w:val="007D4280"/>
    <w:rsid w:val="007D612A"/>
    <w:rsid w:val="007E0839"/>
    <w:rsid w:val="007E2565"/>
    <w:rsid w:val="007F6F59"/>
    <w:rsid w:val="007F7340"/>
    <w:rsid w:val="00802AC0"/>
    <w:rsid w:val="008042B5"/>
    <w:rsid w:val="00811D7B"/>
    <w:rsid w:val="008149D4"/>
    <w:rsid w:val="00833A0D"/>
    <w:rsid w:val="00834A3A"/>
    <w:rsid w:val="00837C6F"/>
    <w:rsid w:val="00852B67"/>
    <w:rsid w:val="00864905"/>
    <w:rsid w:val="0086773C"/>
    <w:rsid w:val="00872CF1"/>
    <w:rsid w:val="00876F63"/>
    <w:rsid w:val="00881858"/>
    <w:rsid w:val="00882A47"/>
    <w:rsid w:val="00886161"/>
    <w:rsid w:val="008A3048"/>
    <w:rsid w:val="008E16D6"/>
    <w:rsid w:val="008E48EA"/>
    <w:rsid w:val="00907E4B"/>
    <w:rsid w:val="00914C9A"/>
    <w:rsid w:val="00915783"/>
    <w:rsid w:val="0092047A"/>
    <w:rsid w:val="009213CB"/>
    <w:rsid w:val="00931AE5"/>
    <w:rsid w:val="00960FDF"/>
    <w:rsid w:val="00965B1E"/>
    <w:rsid w:val="00971E0A"/>
    <w:rsid w:val="009810C9"/>
    <w:rsid w:val="00983B24"/>
    <w:rsid w:val="00985888"/>
    <w:rsid w:val="00985A9B"/>
    <w:rsid w:val="00987831"/>
    <w:rsid w:val="009A1846"/>
    <w:rsid w:val="009A2B29"/>
    <w:rsid w:val="009A41EC"/>
    <w:rsid w:val="009B0EE8"/>
    <w:rsid w:val="009B6E3A"/>
    <w:rsid w:val="009C33FE"/>
    <w:rsid w:val="009F3CCF"/>
    <w:rsid w:val="00A105D2"/>
    <w:rsid w:val="00A14AED"/>
    <w:rsid w:val="00A1681C"/>
    <w:rsid w:val="00A41806"/>
    <w:rsid w:val="00A4278B"/>
    <w:rsid w:val="00A47FD2"/>
    <w:rsid w:val="00A612C4"/>
    <w:rsid w:val="00A70325"/>
    <w:rsid w:val="00A73999"/>
    <w:rsid w:val="00A80388"/>
    <w:rsid w:val="00A824EA"/>
    <w:rsid w:val="00A83B26"/>
    <w:rsid w:val="00A86A99"/>
    <w:rsid w:val="00A9026A"/>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A69C2"/>
    <w:rsid w:val="00BB2F06"/>
    <w:rsid w:val="00BB6B1E"/>
    <w:rsid w:val="00BD099D"/>
    <w:rsid w:val="00BD0C77"/>
    <w:rsid w:val="00BD7802"/>
    <w:rsid w:val="00BE050D"/>
    <w:rsid w:val="00BE2F67"/>
    <w:rsid w:val="00BF0B95"/>
    <w:rsid w:val="00BF0E4C"/>
    <w:rsid w:val="00BF18D9"/>
    <w:rsid w:val="00BF46DB"/>
    <w:rsid w:val="00C072B7"/>
    <w:rsid w:val="00C07B73"/>
    <w:rsid w:val="00C11B5A"/>
    <w:rsid w:val="00C22FF8"/>
    <w:rsid w:val="00C24C82"/>
    <w:rsid w:val="00C40E82"/>
    <w:rsid w:val="00C4275C"/>
    <w:rsid w:val="00C56180"/>
    <w:rsid w:val="00C56DFC"/>
    <w:rsid w:val="00C70054"/>
    <w:rsid w:val="00C70514"/>
    <w:rsid w:val="00C85590"/>
    <w:rsid w:val="00C908AC"/>
    <w:rsid w:val="00C91563"/>
    <w:rsid w:val="00CA029E"/>
    <w:rsid w:val="00CA620E"/>
    <w:rsid w:val="00CB3CF6"/>
    <w:rsid w:val="00CB58A2"/>
    <w:rsid w:val="00CB6A3C"/>
    <w:rsid w:val="00CC6A69"/>
    <w:rsid w:val="00CE32CF"/>
    <w:rsid w:val="00CE6A2B"/>
    <w:rsid w:val="00D017A7"/>
    <w:rsid w:val="00D01DE9"/>
    <w:rsid w:val="00D10D0C"/>
    <w:rsid w:val="00D159EB"/>
    <w:rsid w:val="00D2402A"/>
    <w:rsid w:val="00D25927"/>
    <w:rsid w:val="00D26FC2"/>
    <w:rsid w:val="00D275B0"/>
    <w:rsid w:val="00D3272E"/>
    <w:rsid w:val="00D40D45"/>
    <w:rsid w:val="00D52FC7"/>
    <w:rsid w:val="00D53B57"/>
    <w:rsid w:val="00D5467C"/>
    <w:rsid w:val="00D57243"/>
    <w:rsid w:val="00D606F1"/>
    <w:rsid w:val="00D65906"/>
    <w:rsid w:val="00D674B9"/>
    <w:rsid w:val="00D70266"/>
    <w:rsid w:val="00D76875"/>
    <w:rsid w:val="00D808D3"/>
    <w:rsid w:val="00DA27DD"/>
    <w:rsid w:val="00DA3799"/>
    <w:rsid w:val="00DB270B"/>
    <w:rsid w:val="00DB34F8"/>
    <w:rsid w:val="00DC5641"/>
    <w:rsid w:val="00DD3859"/>
    <w:rsid w:val="00DE32C4"/>
    <w:rsid w:val="00DE63BC"/>
    <w:rsid w:val="00DF277D"/>
    <w:rsid w:val="00E02A45"/>
    <w:rsid w:val="00E04789"/>
    <w:rsid w:val="00E16A72"/>
    <w:rsid w:val="00E2032E"/>
    <w:rsid w:val="00E212FE"/>
    <w:rsid w:val="00E240ED"/>
    <w:rsid w:val="00E51361"/>
    <w:rsid w:val="00E67204"/>
    <w:rsid w:val="00E71BD8"/>
    <w:rsid w:val="00E827FD"/>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1DA5"/>
    <w:rsid w:val="00FB287B"/>
    <w:rsid w:val="00FB3AC4"/>
    <w:rsid w:val="00FC15C9"/>
    <w:rsid w:val="00FC5008"/>
    <w:rsid w:val="00FD515C"/>
    <w:rsid w:val="00FD657E"/>
    <w:rsid w:val="00FE3166"/>
    <w:rsid w:val="00FE67B3"/>
    <w:rsid w:val="00FF25CC"/>
    <w:rsid w:val="00FF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semiHidden/>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semiHidden/>
    <w:unhideWhenUsed/>
    <w:rsid w:val="00FE67B3"/>
    <w:pPr>
      <w:jc w:val="left"/>
    </w:pPr>
  </w:style>
  <w:style w:type="character" w:customStyle="1" w:styleId="af2">
    <w:name w:val="コメント文字列 (文字)"/>
    <w:link w:val="af1"/>
    <w:uiPriority w:val="99"/>
    <w:semiHidden/>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 w:type="paragraph" w:styleId="af5">
    <w:name w:val="Revision"/>
    <w:hidden/>
    <w:uiPriority w:val="99"/>
    <w:semiHidden/>
    <w:rsid w:val="00C07B7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D19F-7CD1-4462-AB81-B467A93C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2019-06-04T05:10:00Z</dcterms:created>
  <dcterms:modified xsi:type="dcterms:W3CDTF">2019-06-04T05:47:00Z</dcterms:modified>
</cp:coreProperties>
</file>