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8"/>
      <w:footerReference w:type="default" r:id="rId9"/>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EFC9" w14:textId="77777777" w:rsidR="002D62F8" w:rsidRDefault="002D62F8" w:rsidP="00165B95">
      <w:r>
        <w:separator/>
      </w:r>
    </w:p>
  </w:endnote>
  <w:endnote w:type="continuationSeparator" w:id="0">
    <w:p w14:paraId="161467B2" w14:textId="77777777" w:rsidR="002D62F8" w:rsidRDefault="002D62F8" w:rsidP="00165B95">
      <w:r>
        <w:continuationSeparator/>
      </w:r>
    </w:p>
  </w:endnote>
  <w:endnote w:type="continuationNotice" w:id="1">
    <w:p w14:paraId="1187608B" w14:textId="77777777" w:rsidR="002D62F8" w:rsidRDefault="002D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1BBC" w14:textId="77777777" w:rsidR="002D62F8" w:rsidRDefault="002D62F8" w:rsidP="00165B95">
      <w:r>
        <w:separator/>
      </w:r>
    </w:p>
  </w:footnote>
  <w:footnote w:type="continuationSeparator" w:id="0">
    <w:p w14:paraId="11491F6E" w14:textId="77777777" w:rsidR="002D62F8" w:rsidRDefault="002D62F8" w:rsidP="00165B95">
      <w:r>
        <w:continuationSeparator/>
      </w:r>
    </w:p>
  </w:footnote>
  <w:footnote w:type="continuationNotice" w:id="1">
    <w:p w14:paraId="7A513518" w14:textId="77777777" w:rsidR="002D62F8" w:rsidRDefault="002D6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51AE"/>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D62F8"/>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0F76"/>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0B36"/>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581</Words>
  <Characters>3315</Characters>
  <DocSecurity>0</DocSecurity>
  <Lines>27</Lines>
  <Paragraphs>7</Paragraphs>
  <ScaleCrop>false</ScaleCrop>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2026-04-15T05:46:00Z</dcterms:created>
  <dcterms:modified xsi:type="dcterms:W3CDTF">2026-04-15T05:47:00Z</dcterms:modified>
</cp:coreProperties>
</file>